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55D" w:rsidRPr="005239A8" w:rsidRDefault="00CF155D" w:rsidP="00CF155D">
      <w:pPr>
        <w:spacing w:after="0" w:line="360" w:lineRule="auto"/>
        <w:jc w:val="both"/>
        <w:rPr>
          <w:rFonts w:ascii="Palatino Linotype" w:hAnsi="Palatino Linotype"/>
          <w:b/>
          <w:sz w:val="24"/>
          <w:szCs w:val="24"/>
        </w:rPr>
      </w:pPr>
      <w:bookmarkStart w:id="0" w:name="_GoBack"/>
      <w:bookmarkEnd w:id="0"/>
      <w:r w:rsidRPr="005239A8">
        <w:rPr>
          <w:rFonts w:ascii="Palatino Linotype" w:hAnsi="Palatino Linotype"/>
          <w:b/>
          <w:sz w:val="24"/>
          <w:szCs w:val="24"/>
        </w:rPr>
        <w:t>VOTO PARTICULAR QUE FORMULA LA COMISIONADA</w:t>
      </w:r>
      <w:r>
        <w:rPr>
          <w:rFonts w:ascii="Palatino Linotype" w:hAnsi="Palatino Linotype"/>
          <w:b/>
          <w:sz w:val="24"/>
          <w:szCs w:val="24"/>
        </w:rPr>
        <w:t xml:space="preserve"> PRESIDENTA</w:t>
      </w:r>
      <w:r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 xml:space="preserve">CUADRAGÉSIMA CUARTA </w:t>
      </w:r>
      <w:r w:rsidRPr="005239A8">
        <w:rPr>
          <w:rFonts w:ascii="Palatino Linotype" w:hAnsi="Palatino Linotype"/>
          <w:b/>
          <w:sz w:val="24"/>
          <w:szCs w:val="24"/>
        </w:rPr>
        <w:t xml:space="preserve">SESIÓN ORDINARIA DE </w:t>
      </w:r>
      <w:r>
        <w:rPr>
          <w:rFonts w:ascii="Palatino Linotype" w:hAnsi="Palatino Linotype"/>
          <w:b/>
          <w:sz w:val="24"/>
          <w:szCs w:val="24"/>
        </w:rPr>
        <w:t xml:space="preserve">VEINTIOCHO DE NOVIEMBRE </w:t>
      </w:r>
      <w:r w:rsidRPr="005239A8">
        <w:rPr>
          <w:rFonts w:ascii="Palatino Linotype" w:hAnsi="Palatino Linotype"/>
          <w:b/>
          <w:sz w:val="24"/>
          <w:szCs w:val="24"/>
        </w:rPr>
        <w:t>DE DOS MIL DIECI</w:t>
      </w:r>
      <w:r>
        <w:rPr>
          <w:rFonts w:ascii="Palatino Linotype" w:hAnsi="Palatino Linotype"/>
          <w:b/>
          <w:sz w:val="24"/>
          <w:szCs w:val="24"/>
        </w:rPr>
        <w:t>OCHO</w:t>
      </w:r>
      <w:r w:rsidRPr="005239A8">
        <w:rPr>
          <w:rFonts w:ascii="Palatino Linotype" w:hAnsi="Palatino Linotype"/>
          <w:b/>
          <w:sz w:val="24"/>
          <w:szCs w:val="24"/>
        </w:rPr>
        <w:t xml:space="preserve">, EN EL RECURSO DE REVISIÓN </w:t>
      </w:r>
      <w:r w:rsidRPr="00E149CD">
        <w:rPr>
          <w:rFonts w:ascii="Palatino Linotype" w:hAnsi="Palatino Linotype"/>
          <w:b/>
          <w:sz w:val="24"/>
          <w:szCs w:val="24"/>
        </w:rPr>
        <w:t>0</w:t>
      </w:r>
      <w:r>
        <w:rPr>
          <w:rFonts w:ascii="Palatino Linotype" w:hAnsi="Palatino Linotype"/>
          <w:b/>
          <w:sz w:val="24"/>
          <w:szCs w:val="24"/>
        </w:rPr>
        <w:t>3548</w:t>
      </w:r>
      <w:r w:rsidRPr="00E149CD">
        <w:rPr>
          <w:rFonts w:ascii="Palatino Linotype" w:hAnsi="Palatino Linotype"/>
          <w:b/>
          <w:sz w:val="24"/>
          <w:szCs w:val="24"/>
        </w:rPr>
        <w:t>/INFOEM/IP/RR/201</w:t>
      </w:r>
      <w:r>
        <w:rPr>
          <w:rFonts w:ascii="Palatino Linotype" w:hAnsi="Palatino Linotype"/>
          <w:b/>
          <w:sz w:val="24"/>
          <w:szCs w:val="24"/>
        </w:rPr>
        <w:t>8</w:t>
      </w:r>
      <w:r w:rsidRPr="005239A8">
        <w:rPr>
          <w:rFonts w:ascii="Palatino Linotype" w:hAnsi="Palatino Linotype"/>
          <w:b/>
          <w:sz w:val="24"/>
          <w:szCs w:val="24"/>
        </w:rPr>
        <w:t>.</w:t>
      </w:r>
    </w:p>
    <w:p w:rsidR="00CF155D" w:rsidRDefault="00CF155D" w:rsidP="00CF155D">
      <w:pPr>
        <w:spacing w:after="0" w:line="360" w:lineRule="auto"/>
        <w:jc w:val="both"/>
        <w:rPr>
          <w:rFonts w:ascii="Palatino Linotype" w:hAnsi="Palatino Linotype"/>
          <w:b/>
          <w:sz w:val="24"/>
          <w:szCs w:val="24"/>
        </w:rPr>
      </w:pPr>
    </w:p>
    <w:p w:rsidR="00CF155D" w:rsidRPr="005239A8" w:rsidRDefault="00CF155D" w:rsidP="00CF155D">
      <w:pPr>
        <w:spacing w:before="240" w:after="240" w:line="360" w:lineRule="auto"/>
        <w:jc w:val="both"/>
        <w:rPr>
          <w:rFonts w:ascii="Palatino Linotype" w:hAnsi="Palatino Linotype"/>
          <w:spacing w:val="-4"/>
          <w:sz w:val="24"/>
          <w:szCs w:val="24"/>
        </w:rPr>
      </w:pPr>
      <w:r w:rsidRPr="005239A8">
        <w:rPr>
          <w:rFonts w:ascii="Palatino Linotype" w:hAnsi="Palatino Linotype"/>
          <w:spacing w:val="-4"/>
          <w:sz w:val="24"/>
          <w:szCs w:val="24"/>
        </w:rPr>
        <w:t>Con fundamento en lo dispuesto por el artículo 14 fracciones X y XI del Reglamento Interior del Instituto de Transparencia, Acceso a la Información Pública y Protección de Datos Personales del Estado de México y Municipios, la Comisionada</w:t>
      </w:r>
      <w:r>
        <w:rPr>
          <w:rFonts w:ascii="Palatino Linotype" w:hAnsi="Palatino Linotype"/>
          <w:spacing w:val="-4"/>
          <w:sz w:val="24"/>
          <w:szCs w:val="24"/>
        </w:rPr>
        <w:t xml:space="preserve"> Presidenta</w:t>
      </w:r>
      <w:r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Pr="005239A8">
        <w:rPr>
          <w:rFonts w:ascii="Palatino Linotype" w:hAnsi="Palatino Linotype"/>
          <w:b/>
          <w:spacing w:val="-4"/>
          <w:sz w:val="24"/>
          <w:szCs w:val="24"/>
        </w:rPr>
        <w:t xml:space="preserve">VOTO PARTICULAR </w:t>
      </w:r>
      <w:r w:rsidRPr="005239A8">
        <w:rPr>
          <w:rFonts w:ascii="Palatino Linotype" w:hAnsi="Palatino Linotype"/>
          <w:spacing w:val="-4"/>
          <w:sz w:val="24"/>
          <w:szCs w:val="24"/>
        </w:rPr>
        <w:t xml:space="preserve">respecto a la resolución dictada en el recurso de revisión número </w:t>
      </w:r>
      <w:r w:rsidRPr="00E149CD">
        <w:rPr>
          <w:rFonts w:ascii="Palatino Linotype" w:hAnsi="Palatino Linotype"/>
          <w:b/>
          <w:spacing w:val="-4"/>
          <w:sz w:val="24"/>
          <w:szCs w:val="24"/>
        </w:rPr>
        <w:t>0</w:t>
      </w:r>
      <w:r>
        <w:rPr>
          <w:rFonts w:ascii="Palatino Linotype" w:hAnsi="Palatino Linotype"/>
          <w:b/>
          <w:spacing w:val="-4"/>
          <w:sz w:val="24"/>
          <w:szCs w:val="24"/>
        </w:rPr>
        <w:t>3548</w:t>
      </w:r>
      <w:r w:rsidRPr="00E149CD">
        <w:rPr>
          <w:rFonts w:ascii="Palatino Linotype" w:hAnsi="Palatino Linotype"/>
          <w:b/>
          <w:spacing w:val="-4"/>
          <w:sz w:val="24"/>
          <w:szCs w:val="24"/>
        </w:rPr>
        <w:t>/INFOEM/IP/RR/201</w:t>
      </w:r>
      <w:r>
        <w:rPr>
          <w:rFonts w:ascii="Palatino Linotype" w:hAnsi="Palatino Linotype"/>
          <w:b/>
          <w:spacing w:val="-4"/>
          <w:sz w:val="24"/>
          <w:szCs w:val="24"/>
        </w:rPr>
        <w:t>8</w:t>
      </w:r>
      <w:r w:rsidRPr="005239A8">
        <w:rPr>
          <w:rFonts w:ascii="Palatino Linotype" w:hAnsi="Palatino Linotype"/>
          <w:spacing w:val="-4"/>
          <w:sz w:val="24"/>
          <w:szCs w:val="24"/>
        </w:rPr>
        <w:t xml:space="preserve">, pronunciada por el Pleno de este Instituto ante el proyecto presentado por </w:t>
      </w:r>
      <w:r>
        <w:rPr>
          <w:rFonts w:ascii="Palatino Linotype" w:hAnsi="Palatino Linotype"/>
          <w:spacing w:val="-4"/>
          <w:sz w:val="24"/>
          <w:szCs w:val="24"/>
        </w:rPr>
        <w:t>e</w:t>
      </w:r>
      <w:r w:rsidRPr="005239A8">
        <w:rPr>
          <w:rFonts w:ascii="Palatino Linotype" w:hAnsi="Palatino Linotype"/>
          <w:spacing w:val="-4"/>
          <w:sz w:val="24"/>
          <w:szCs w:val="24"/>
        </w:rPr>
        <w:t>l Comisionad</w:t>
      </w:r>
      <w:r>
        <w:rPr>
          <w:rFonts w:ascii="Palatino Linotype" w:hAnsi="Palatino Linotype"/>
          <w:spacing w:val="-4"/>
          <w:sz w:val="24"/>
          <w:szCs w:val="24"/>
        </w:rPr>
        <w:t>o</w:t>
      </w:r>
      <w:r w:rsidRPr="005239A8">
        <w:rPr>
          <w:rFonts w:ascii="Palatino Linotype" w:hAnsi="Palatino Linotype"/>
          <w:spacing w:val="-4"/>
          <w:sz w:val="24"/>
          <w:szCs w:val="24"/>
        </w:rPr>
        <w:t xml:space="preserve"> </w:t>
      </w:r>
      <w:r>
        <w:rPr>
          <w:rFonts w:ascii="Palatino Linotype" w:hAnsi="Palatino Linotype"/>
          <w:b/>
          <w:spacing w:val="-4"/>
          <w:sz w:val="24"/>
          <w:szCs w:val="24"/>
        </w:rPr>
        <w:t>José Guadalupe Luna Hernández</w:t>
      </w:r>
      <w:r w:rsidRPr="005239A8">
        <w:rPr>
          <w:rFonts w:ascii="Palatino Linotype" w:hAnsi="Palatino Linotype"/>
          <w:spacing w:val="-4"/>
          <w:sz w:val="24"/>
          <w:szCs w:val="24"/>
        </w:rPr>
        <w:t>, que es del tenor siguiente</w:t>
      </w:r>
      <w:r>
        <w:rPr>
          <w:rFonts w:ascii="Palatino Linotype" w:hAnsi="Palatino Linotype"/>
          <w:spacing w:val="-4"/>
          <w:sz w:val="24"/>
          <w:szCs w:val="24"/>
        </w:rPr>
        <w:t>.</w:t>
      </w:r>
      <w:r w:rsidRPr="005239A8">
        <w:rPr>
          <w:rFonts w:ascii="Palatino Linotype" w:hAnsi="Palatino Linotype"/>
          <w:spacing w:val="-4"/>
          <w:sz w:val="24"/>
          <w:szCs w:val="24"/>
        </w:rPr>
        <w:t xml:space="preserve"> </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primer término debemos referir que se comparte de manera parcial la resolución presentada por el Comisionado Ponente; no obstante, se considera que una parte de la solicitud de información debió ser atendida bajo las siguientes consideraciones. </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Primeramente, cabe recordar que la información solicitada consiste en lo siguiente:</w:t>
      </w:r>
    </w:p>
    <w:p w:rsidR="00CF155D" w:rsidRDefault="00CF155D" w:rsidP="00CF155D">
      <w:pPr>
        <w:spacing w:before="120" w:after="120" w:line="240" w:lineRule="auto"/>
        <w:ind w:left="567" w:right="561"/>
        <w:jc w:val="both"/>
        <w:rPr>
          <w:rFonts w:ascii="Palatino Linotype" w:hAnsi="Palatino Linotype"/>
          <w:i/>
          <w:sz w:val="24"/>
          <w:szCs w:val="24"/>
        </w:rPr>
      </w:pPr>
      <w:r w:rsidRPr="00075CCC">
        <w:rPr>
          <w:rFonts w:ascii="Palatino Linotype" w:hAnsi="Palatino Linotype"/>
          <w:i/>
          <w:sz w:val="24"/>
          <w:szCs w:val="24"/>
        </w:rPr>
        <w:lastRenderedPageBreak/>
        <w:t xml:space="preserve">“quiero solicitar la información documental en formato digital, relativa a la autorización del gobierno del estado de mexico de la actualizacion del plan municipal de desarrollo urbano de atenco. Los documentos de la consulta publica los documentos del </w:t>
      </w:r>
      <w:r w:rsidRPr="00140497">
        <w:rPr>
          <w:rFonts w:ascii="Palatino Linotype" w:hAnsi="Palatino Linotype"/>
          <w:b/>
          <w:i/>
          <w:sz w:val="24"/>
          <w:szCs w:val="24"/>
        </w:rPr>
        <w:t>dictamen de congruencia</w:t>
      </w:r>
      <w:r w:rsidRPr="00075CCC">
        <w:rPr>
          <w:rFonts w:ascii="Palatino Linotype" w:hAnsi="Palatino Linotype"/>
          <w:i/>
          <w:sz w:val="24"/>
          <w:szCs w:val="24"/>
        </w:rPr>
        <w:t xml:space="preserve"> el plano de uso de suelo en su version mas actual” (SIC)</w:t>
      </w:r>
      <w:r>
        <w:rPr>
          <w:rFonts w:ascii="Palatino Linotype" w:hAnsi="Palatino Linotype"/>
          <w:i/>
          <w:sz w:val="24"/>
          <w:szCs w:val="24"/>
        </w:rPr>
        <w:t xml:space="preserve">                                                          </w:t>
      </w:r>
    </w:p>
    <w:p w:rsidR="00CF155D" w:rsidRPr="00140497" w:rsidRDefault="00CF155D" w:rsidP="00CF155D">
      <w:pPr>
        <w:spacing w:before="120" w:after="120" w:line="240" w:lineRule="auto"/>
        <w:ind w:left="567" w:right="561"/>
        <w:jc w:val="both"/>
        <w:rPr>
          <w:rFonts w:ascii="Palatino Linotype" w:hAnsi="Palatino Linotype"/>
          <w:b/>
          <w:i/>
          <w:sz w:val="24"/>
          <w:szCs w:val="24"/>
        </w:rPr>
      </w:pPr>
      <w:r>
        <w:rPr>
          <w:rFonts w:ascii="Palatino Linotype" w:hAnsi="Palatino Linotype"/>
          <w:i/>
          <w:sz w:val="24"/>
          <w:szCs w:val="24"/>
        </w:rPr>
        <w:t xml:space="preserve">                                                                                                     </w:t>
      </w:r>
      <w:r w:rsidRPr="00140497">
        <w:rPr>
          <w:rFonts w:ascii="Palatino Linotype" w:hAnsi="Palatino Linotype"/>
          <w:b/>
          <w:sz w:val="24"/>
          <w:szCs w:val="24"/>
        </w:rPr>
        <w:t>Énfasis añadido</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 lo anterior, la resolución que atañe consistió en ordenar al </w:t>
      </w:r>
      <w:r w:rsidRPr="00075CCC">
        <w:rPr>
          <w:rFonts w:ascii="Palatino Linotype" w:hAnsi="Palatino Linotype"/>
          <w:b/>
          <w:sz w:val="24"/>
          <w:szCs w:val="24"/>
        </w:rPr>
        <w:t>Sujeto Obligado</w:t>
      </w:r>
      <w:r>
        <w:rPr>
          <w:rFonts w:ascii="Palatino Linotype" w:hAnsi="Palatino Linotype"/>
          <w:sz w:val="24"/>
          <w:szCs w:val="24"/>
        </w:rPr>
        <w:t xml:space="preserve"> emitir un acuerdo de incompetencia por considerar que lo solicitado son atribuciones propias de la administración del Municipio de Atenco; efectivamente, esta Ponencia considera que el Sujeto Obligado carece de facultades para atender debidamente lo solicitado pero solo de manera parcial, no así respecto al </w:t>
      </w:r>
      <w:r w:rsidRPr="00D33C15">
        <w:rPr>
          <w:rFonts w:ascii="Palatino Linotype" w:hAnsi="Palatino Linotype"/>
          <w:i/>
          <w:sz w:val="24"/>
          <w:szCs w:val="24"/>
        </w:rPr>
        <w:t>Dictamen de Congruencia</w:t>
      </w:r>
      <w:r>
        <w:rPr>
          <w:rFonts w:ascii="Palatino Linotype" w:hAnsi="Palatino Linotype"/>
          <w:sz w:val="24"/>
          <w:szCs w:val="24"/>
        </w:rPr>
        <w:t xml:space="preserve"> relativo a la actualización del Plan de Desarrollo del Municipio de Atenco.</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efecto, del Dictamen de Congruencia solicitado, esta ponencia considera que es una atribución del </w:t>
      </w:r>
      <w:r w:rsidRPr="00780E75">
        <w:rPr>
          <w:rFonts w:ascii="Palatino Linotype" w:hAnsi="Palatino Linotype"/>
          <w:b/>
          <w:sz w:val="24"/>
          <w:szCs w:val="24"/>
        </w:rPr>
        <w:t>Sujeto Obligado</w:t>
      </w:r>
      <w:r>
        <w:rPr>
          <w:rFonts w:ascii="Palatino Linotype" w:hAnsi="Palatino Linotype"/>
          <w:sz w:val="24"/>
          <w:szCs w:val="24"/>
        </w:rPr>
        <w:t xml:space="preserve"> generarlo tomando en cuenta lo estipulado en la fracción II del artículo 5.20 del Código Administrativo del Estado de México que literalmente reza así:</w:t>
      </w:r>
    </w:p>
    <w:p w:rsidR="00CF155D" w:rsidRPr="00B624B0" w:rsidRDefault="00CF155D" w:rsidP="00CF155D">
      <w:pPr>
        <w:spacing w:before="120" w:after="120" w:line="240" w:lineRule="auto"/>
        <w:ind w:left="567" w:right="561"/>
        <w:jc w:val="both"/>
        <w:rPr>
          <w:rFonts w:ascii="Palatino Linotype" w:hAnsi="Palatino Linotype"/>
          <w:i/>
          <w:sz w:val="24"/>
          <w:szCs w:val="24"/>
        </w:rPr>
      </w:pPr>
      <w:r w:rsidRPr="00B624B0">
        <w:rPr>
          <w:rFonts w:ascii="Palatino Linotype" w:hAnsi="Palatino Linotype"/>
          <w:i/>
          <w:sz w:val="24"/>
          <w:szCs w:val="24"/>
        </w:rPr>
        <w:t>Artículo 5.20.- La elaboración, aprobación, publicación y registro de los planes de desarrollo urbano o de sus modificaciones, se sujetarán a las reglas siguientes:</w:t>
      </w:r>
    </w:p>
    <w:p w:rsidR="00CF155D" w:rsidRPr="00B624B0" w:rsidRDefault="00CF155D" w:rsidP="00CF155D">
      <w:pPr>
        <w:spacing w:before="120" w:after="120" w:line="240" w:lineRule="auto"/>
        <w:ind w:left="567" w:right="561"/>
        <w:jc w:val="both"/>
        <w:rPr>
          <w:rFonts w:ascii="Palatino Linotype" w:hAnsi="Palatino Linotype"/>
          <w:i/>
          <w:sz w:val="24"/>
          <w:szCs w:val="24"/>
        </w:rPr>
      </w:pPr>
      <w:r w:rsidRPr="00B624B0">
        <w:rPr>
          <w:rFonts w:ascii="Palatino Linotype" w:hAnsi="Palatino Linotype"/>
          <w:i/>
          <w:sz w:val="24"/>
          <w:szCs w:val="24"/>
        </w:rPr>
        <w:t>…</w:t>
      </w:r>
    </w:p>
    <w:p w:rsidR="00CF155D" w:rsidRPr="00B624B0" w:rsidRDefault="00CF155D" w:rsidP="00CF155D">
      <w:pPr>
        <w:spacing w:before="120" w:after="120" w:line="240" w:lineRule="auto"/>
        <w:ind w:left="567" w:right="561"/>
        <w:jc w:val="both"/>
        <w:rPr>
          <w:rFonts w:ascii="Palatino Linotype" w:hAnsi="Palatino Linotype"/>
          <w:i/>
          <w:sz w:val="24"/>
          <w:szCs w:val="24"/>
        </w:rPr>
      </w:pPr>
      <w:r w:rsidRPr="00B624B0">
        <w:rPr>
          <w:rFonts w:ascii="Palatino Linotype" w:hAnsi="Palatino Linotype"/>
          <w:i/>
          <w:sz w:val="24"/>
          <w:szCs w:val="24"/>
        </w:rPr>
        <w:t xml:space="preserve">II. En el caso de planes que deban ser aprobados por el Ayuntamiento, éste recabará de la Secretaría, el dictamen de congruencia correspondiente quien tendrá un plazo máximo de treinta días hábiles para dar respuesta, contados a partir de que sea presentada la solicitud; en caso de no ser favorable, se deberán justificar de </w:t>
      </w:r>
      <w:r w:rsidRPr="00B624B0">
        <w:rPr>
          <w:rFonts w:ascii="Palatino Linotype" w:hAnsi="Palatino Linotype"/>
          <w:i/>
          <w:sz w:val="24"/>
          <w:szCs w:val="24"/>
        </w:rPr>
        <w:lastRenderedPageBreak/>
        <w:t>manera clara y expresa las recomendaciones pertinentes para que el Ayuntamiento efectúe las modificaciones correspondientes.</w:t>
      </w:r>
    </w:p>
    <w:p w:rsidR="00CF155D" w:rsidRPr="00B624B0" w:rsidRDefault="00CF155D" w:rsidP="00CF155D">
      <w:pPr>
        <w:spacing w:before="120" w:after="120" w:line="240" w:lineRule="auto"/>
        <w:ind w:left="567" w:right="561"/>
        <w:jc w:val="both"/>
        <w:rPr>
          <w:rFonts w:ascii="Palatino Linotype" w:hAnsi="Palatino Linotype"/>
          <w:i/>
          <w:sz w:val="24"/>
          <w:szCs w:val="24"/>
        </w:rPr>
      </w:pPr>
      <w:r w:rsidRPr="00B624B0">
        <w:rPr>
          <w:rFonts w:ascii="Palatino Linotype" w:hAnsi="Palatino Linotype"/>
          <w:i/>
          <w:sz w:val="24"/>
          <w:szCs w:val="24"/>
        </w:rPr>
        <w:t>…”</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De este modo, es claro que los Ayuntamientos deben recabar de la Secretaría de Desarrollo Urbano y Metropolitano el dictamen de congruencia.</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otro lado, no debe pasar inadvertido que el </w:t>
      </w:r>
      <w:r w:rsidRPr="00690D9F">
        <w:rPr>
          <w:rFonts w:ascii="Palatino Linotype" w:hAnsi="Palatino Linotype"/>
          <w:b/>
          <w:sz w:val="24"/>
          <w:szCs w:val="24"/>
        </w:rPr>
        <w:t>Sujeto Obligado</w:t>
      </w:r>
      <w:r>
        <w:rPr>
          <w:rFonts w:ascii="Palatino Linotype" w:hAnsi="Palatino Linotype"/>
          <w:sz w:val="24"/>
          <w:szCs w:val="24"/>
        </w:rPr>
        <w:t xml:space="preserve"> indicó en su respuesta que </w:t>
      </w:r>
      <w:r w:rsidRPr="00690D9F">
        <w:rPr>
          <w:rFonts w:ascii="Palatino Linotype" w:hAnsi="Palatino Linotype"/>
          <w:i/>
          <w:sz w:val="24"/>
          <w:szCs w:val="24"/>
        </w:rPr>
        <w:t>“… En cuanto al dictamen de congruencia, el municipio todavía no cuenta con este documento…”</w:t>
      </w:r>
      <w:r>
        <w:rPr>
          <w:rFonts w:ascii="Palatino Linotype" w:hAnsi="Palatino Linotype"/>
          <w:sz w:val="24"/>
          <w:szCs w:val="24"/>
        </w:rPr>
        <w:t xml:space="preserve">;  de este modo, al relacionar este pronunciamiento con el dispositivo legal antes invocado, resulta lógico pensar que el referido dictamen debe ser generado por el </w:t>
      </w:r>
      <w:r w:rsidRPr="00690D9F">
        <w:rPr>
          <w:rFonts w:ascii="Palatino Linotype" w:hAnsi="Palatino Linotype"/>
          <w:b/>
          <w:sz w:val="24"/>
          <w:szCs w:val="24"/>
        </w:rPr>
        <w:t>Sujeto Obligado</w:t>
      </w:r>
      <w:r>
        <w:rPr>
          <w:rFonts w:ascii="Palatino Linotype" w:hAnsi="Palatino Linotype"/>
          <w:sz w:val="24"/>
          <w:szCs w:val="24"/>
        </w:rPr>
        <w:t>.</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lo anterior, se considera que existen evidencias suficientes para concluir que el </w:t>
      </w:r>
      <w:r w:rsidRPr="00085B99">
        <w:rPr>
          <w:rFonts w:ascii="Palatino Linotype" w:hAnsi="Palatino Linotype"/>
          <w:b/>
          <w:sz w:val="24"/>
          <w:szCs w:val="24"/>
        </w:rPr>
        <w:t>Sujeto Obligado</w:t>
      </w:r>
      <w:r>
        <w:rPr>
          <w:rFonts w:ascii="Palatino Linotype" w:hAnsi="Palatino Linotype"/>
          <w:sz w:val="24"/>
          <w:szCs w:val="24"/>
        </w:rPr>
        <w:t xml:space="preserve"> es competente para generar el dictamen de congruencia solicitado; situación que ante la lógica de esta ponencia, resulta incongruente que lo ordenado en la Resolución de mérito, sea emitir un acuerdo de incompetencia por la totalidad de la información solicitada.</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Así, si el </w:t>
      </w:r>
      <w:r w:rsidRPr="006E624C">
        <w:rPr>
          <w:rFonts w:ascii="Palatino Linotype" w:hAnsi="Palatino Linotype"/>
          <w:b/>
          <w:sz w:val="24"/>
          <w:szCs w:val="24"/>
        </w:rPr>
        <w:t>Sujeto Obligado</w:t>
      </w:r>
      <w:r>
        <w:rPr>
          <w:rFonts w:ascii="Palatino Linotype" w:hAnsi="Palatino Linotype"/>
          <w:sz w:val="24"/>
          <w:szCs w:val="24"/>
        </w:rPr>
        <w:t xml:space="preserve"> manifestó que el Municipio de Atenco aún no cuenta con este documento, también debió explicar debidamente al </w:t>
      </w:r>
      <w:r w:rsidRPr="00E614CD">
        <w:rPr>
          <w:rFonts w:ascii="Palatino Linotype" w:hAnsi="Palatino Linotype"/>
          <w:b/>
          <w:sz w:val="24"/>
          <w:szCs w:val="24"/>
        </w:rPr>
        <w:t>Recurrente</w:t>
      </w:r>
      <w:r>
        <w:rPr>
          <w:rFonts w:ascii="Palatino Linotype" w:hAnsi="Palatino Linotype"/>
          <w:sz w:val="24"/>
          <w:szCs w:val="24"/>
        </w:rPr>
        <w:t xml:space="preserve"> el por qué no se ha generado o entregado este documento, toda vez que esto es una atribución que explícitamente le confiere la ley de la materia y la respuesta del </w:t>
      </w:r>
      <w:r w:rsidRPr="00E70201">
        <w:rPr>
          <w:rFonts w:ascii="Palatino Linotype" w:hAnsi="Palatino Linotype"/>
          <w:b/>
          <w:sz w:val="24"/>
          <w:szCs w:val="24"/>
        </w:rPr>
        <w:t>Sujeto Obligado</w:t>
      </w:r>
      <w:r>
        <w:rPr>
          <w:rFonts w:ascii="Palatino Linotype" w:hAnsi="Palatino Linotype"/>
          <w:sz w:val="24"/>
          <w:szCs w:val="24"/>
        </w:rPr>
        <w:t xml:space="preserve"> debió incluir en su caso el respectivo acuerdo de inexistencia en concordancia con los </w:t>
      </w:r>
      <w:r>
        <w:rPr>
          <w:rFonts w:ascii="Palatino Linotype" w:hAnsi="Palatino Linotype"/>
          <w:sz w:val="24"/>
          <w:szCs w:val="24"/>
        </w:rPr>
        <w:lastRenderedPageBreak/>
        <w:t>siguientes dispositivos de la Ley de Transparencia y Accesos a la Información Pública del Estado de México y Municipios:</w:t>
      </w:r>
    </w:p>
    <w:p w:rsidR="00CF155D" w:rsidRPr="00365F3A" w:rsidRDefault="00CF155D" w:rsidP="00CF155D">
      <w:pPr>
        <w:spacing w:before="120" w:after="120" w:line="240" w:lineRule="auto"/>
        <w:ind w:left="567" w:right="561"/>
        <w:jc w:val="both"/>
        <w:rPr>
          <w:rFonts w:ascii="Palatino Linotype" w:hAnsi="Palatino Linotype"/>
          <w:i/>
          <w:sz w:val="24"/>
          <w:szCs w:val="24"/>
        </w:rPr>
      </w:pPr>
      <w:r>
        <w:rPr>
          <w:rFonts w:ascii="Palatino Linotype" w:hAnsi="Palatino Linotype"/>
          <w:i/>
          <w:sz w:val="24"/>
          <w:szCs w:val="24"/>
        </w:rPr>
        <w:t>“…</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Artículo 19. Se presume que la información debe existir si se refiere a las facultades, competencias y funciones que los ordenamientos jurídicos aplicables otorgan a los sujetos obligados. </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CF155D" w:rsidRPr="00365F3A" w:rsidRDefault="00CF155D" w:rsidP="00CF155D">
      <w:pPr>
        <w:spacing w:before="120" w:after="120" w:line="240" w:lineRule="auto"/>
        <w:ind w:left="567" w:right="561"/>
        <w:jc w:val="both"/>
        <w:rPr>
          <w:rFonts w:ascii="Palatino Linotype" w:hAnsi="Palatino Linotype"/>
          <w:b/>
          <w:i/>
          <w:sz w:val="24"/>
          <w:szCs w:val="24"/>
        </w:rPr>
      </w:pPr>
      <w:r w:rsidRPr="00365F3A">
        <w:rPr>
          <w:rFonts w:ascii="Palatino Linotype" w:hAnsi="Palatino Linotype"/>
          <w:b/>
          <w:i/>
          <w:sz w:val="24"/>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Artículo 20. Ante la negativa del acceso a la información o su inexistencia, el sujeto obligado deberá demostrar que la información solicitada está prevista en alguna de las excepciones contenidas en esta Ley o, en su caso, </w:t>
      </w:r>
      <w:r w:rsidRPr="00365F3A">
        <w:rPr>
          <w:rFonts w:ascii="Palatino Linotype" w:hAnsi="Palatino Linotype"/>
          <w:b/>
          <w:i/>
          <w:sz w:val="24"/>
          <w:szCs w:val="24"/>
        </w:rPr>
        <w:t>demostrar que la información no se refiere a alguna de sus facultades, competencias o funciones</w:t>
      </w:r>
      <w:r w:rsidRPr="00365F3A">
        <w:rPr>
          <w:rFonts w:ascii="Palatino Linotype" w:hAnsi="Palatino Linotype"/>
          <w:i/>
          <w:sz w:val="24"/>
          <w:szCs w:val="24"/>
        </w:rPr>
        <w:t>.</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Artículo 49. Los Comités de Transparencia tendrán las siguientes atribuciones:</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II. </w:t>
      </w:r>
      <w:r w:rsidRPr="00365F3A">
        <w:rPr>
          <w:rFonts w:ascii="Palatino Linotype" w:hAnsi="Palatino Linotype"/>
          <w:b/>
          <w:i/>
          <w:sz w:val="24"/>
          <w:szCs w:val="24"/>
        </w:rPr>
        <w:t>Confirmar</w:t>
      </w:r>
      <w:r w:rsidRPr="00365F3A">
        <w:rPr>
          <w:rFonts w:ascii="Palatino Linotype" w:hAnsi="Palatino Linotype"/>
          <w:i/>
          <w:sz w:val="24"/>
          <w:szCs w:val="24"/>
        </w:rPr>
        <w:t xml:space="preserve">, modificar o revocar las determinaciones que en materia de ampliación del plazo de respuesta, clasificación de la información y </w:t>
      </w:r>
      <w:r w:rsidRPr="00365F3A">
        <w:rPr>
          <w:rFonts w:ascii="Palatino Linotype" w:hAnsi="Palatino Linotype"/>
          <w:b/>
          <w:i/>
          <w:sz w:val="24"/>
          <w:szCs w:val="24"/>
        </w:rPr>
        <w:t>declaración de inexistencia</w:t>
      </w:r>
      <w:r w:rsidRPr="00365F3A">
        <w:rPr>
          <w:rFonts w:ascii="Palatino Linotype" w:hAnsi="Palatino Linotype"/>
          <w:i/>
          <w:sz w:val="24"/>
          <w:szCs w:val="24"/>
        </w:rPr>
        <w:t xml:space="preserve"> o de incompetencia realicen los titulares de las áreas de los sujetos obligados;</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XIII. </w:t>
      </w:r>
      <w:r w:rsidRPr="00365F3A">
        <w:rPr>
          <w:rFonts w:ascii="Palatino Linotype" w:hAnsi="Palatino Linotype"/>
          <w:b/>
          <w:i/>
          <w:sz w:val="24"/>
          <w:szCs w:val="24"/>
        </w:rPr>
        <w:t>Dictaminar las declaratorias de inexistencia de la información</w:t>
      </w:r>
      <w:r w:rsidRPr="00365F3A">
        <w:rPr>
          <w:rFonts w:ascii="Palatino Linotype" w:hAnsi="Palatino Linotype"/>
          <w:i/>
          <w:sz w:val="24"/>
          <w:szCs w:val="24"/>
        </w:rPr>
        <w:t xml:space="preserve"> que les remitan las unidades administrativas y resolver en consecuencia;</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Artículo 169. </w:t>
      </w:r>
      <w:r w:rsidRPr="00365F3A">
        <w:rPr>
          <w:rFonts w:ascii="Palatino Linotype" w:hAnsi="Palatino Linotype"/>
          <w:b/>
          <w:i/>
          <w:sz w:val="24"/>
          <w:szCs w:val="24"/>
        </w:rPr>
        <w:t>Cuando la información no se encuentre en los archivos del sujeto obligado, el Comité de Transparencia:</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I. Analizará el caso y tomará las medidas necesarias para localizar la información; </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II. Expedirá una resolución que confirme la inexistencia del documento; </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 xml:space="preserve">IV. Notificará al órgano interno de control o equivalente del sujeto obligado quien, en su caso, deberá iniciar el procedimiento de responsabilidad administrativa que corresponda. La Unidad de Transparencia deberá notificarlo al solicitante por escrito, en un plazo que no exceda de quince días hábiles contados a partir del día siguiente a la presentación de la solicitud. Este plazo podrá ampliarse hasta por otros siete días hábiles, siempre que existan razones para ello, debiendo notificarse por escrito al solicitante. </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CF155D" w:rsidRPr="00365F3A" w:rsidRDefault="00CF155D" w:rsidP="00CF155D">
      <w:pPr>
        <w:spacing w:before="120" w:after="120" w:line="240" w:lineRule="auto"/>
        <w:ind w:left="567" w:right="561"/>
        <w:jc w:val="both"/>
        <w:rPr>
          <w:rFonts w:ascii="Palatino Linotype" w:hAnsi="Palatino Linotype"/>
          <w:i/>
          <w:sz w:val="24"/>
          <w:szCs w:val="24"/>
        </w:rPr>
      </w:pPr>
      <w:r w:rsidRPr="00365F3A">
        <w:rPr>
          <w:rFonts w:ascii="Palatino Linotype" w:hAnsi="Palatino Linotype"/>
          <w:i/>
          <w:sz w:val="24"/>
          <w:szCs w:val="24"/>
        </w:rPr>
        <w:t>…”.</w:t>
      </w:r>
    </w:p>
    <w:p w:rsidR="00CF155D" w:rsidRDefault="00CF155D" w:rsidP="00CF155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 este modo, al ser la respuesta del </w:t>
      </w:r>
      <w:r w:rsidRPr="00030448">
        <w:rPr>
          <w:rFonts w:ascii="Palatino Linotype" w:hAnsi="Palatino Linotype"/>
          <w:b/>
          <w:sz w:val="24"/>
          <w:szCs w:val="24"/>
        </w:rPr>
        <w:t>Sujeto Obligado</w:t>
      </w:r>
      <w:r>
        <w:rPr>
          <w:rFonts w:ascii="Palatino Linotype" w:hAnsi="Palatino Linotype"/>
          <w:sz w:val="24"/>
          <w:szCs w:val="24"/>
        </w:rPr>
        <w:t xml:space="preserve"> imprecisa sobre las causas del por qué el Ayuntamiento de Atenco no cuenta con el dictamen de congruencia solicitado y siendo que es una atribución del </w:t>
      </w:r>
      <w:r w:rsidRPr="00030448">
        <w:rPr>
          <w:rFonts w:ascii="Palatino Linotype" w:hAnsi="Palatino Linotype"/>
          <w:b/>
          <w:sz w:val="24"/>
          <w:szCs w:val="24"/>
        </w:rPr>
        <w:t>Sujeto Obligado</w:t>
      </w:r>
      <w:r>
        <w:rPr>
          <w:rFonts w:ascii="Palatino Linotype" w:hAnsi="Palatino Linotype"/>
          <w:sz w:val="24"/>
          <w:szCs w:val="24"/>
        </w:rPr>
        <w:t xml:space="preserve"> expedirlo; se considera, que la Resolución de mérito debió ordenar el pronunciamiento o bien la emisión y entrega del respectivo acuerdo de inexistencia debidamente fundado y motivado. </w:t>
      </w:r>
    </w:p>
    <w:p w:rsidR="00CF155D" w:rsidRPr="00F14DB2" w:rsidRDefault="00CF155D" w:rsidP="00CF155D">
      <w:pPr>
        <w:spacing w:before="240" w:after="240" w:line="360" w:lineRule="auto"/>
        <w:jc w:val="both"/>
        <w:rPr>
          <w:rFonts w:ascii="Palatino Linotype" w:hAnsi="Palatino Linotype" w:cs="Arial"/>
          <w:sz w:val="24"/>
          <w:szCs w:val="24"/>
        </w:rPr>
      </w:pPr>
    </w:p>
    <w:p w:rsidR="00CF155D" w:rsidRDefault="00CF155D" w:rsidP="00CF155D">
      <w:pPr>
        <w:spacing w:line="240" w:lineRule="auto"/>
        <w:jc w:val="center"/>
        <w:rPr>
          <w:rFonts w:ascii="Palatino Linotype" w:hAnsi="Palatino Linotype"/>
          <w:b/>
          <w:sz w:val="24"/>
          <w:szCs w:val="24"/>
        </w:rPr>
      </w:pPr>
    </w:p>
    <w:p w:rsidR="00CF155D" w:rsidRPr="005239A8" w:rsidRDefault="00CF155D" w:rsidP="00CF155D">
      <w:pPr>
        <w:spacing w:line="240" w:lineRule="auto"/>
        <w:jc w:val="center"/>
        <w:rPr>
          <w:rFonts w:ascii="Palatino Linotype" w:hAnsi="Palatino Linotype"/>
          <w:b/>
          <w:sz w:val="24"/>
          <w:szCs w:val="24"/>
        </w:rPr>
      </w:pPr>
    </w:p>
    <w:p w:rsidR="00CF155D" w:rsidRPr="005239A8" w:rsidRDefault="00CF155D" w:rsidP="00CF155D">
      <w:pPr>
        <w:spacing w:line="240" w:lineRule="auto"/>
        <w:jc w:val="center"/>
        <w:rPr>
          <w:rFonts w:ascii="Palatino Linotype" w:hAnsi="Palatino Linotype"/>
          <w:b/>
          <w:sz w:val="24"/>
          <w:szCs w:val="24"/>
        </w:rPr>
      </w:pPr>
      <w:r w:rsidRPr="005239A8">
        <w:rPr>
          <w:rFonts w:ascii="Palatino Linotype" w:hAnsi="Palatino Linotype"/>
          <w:b/>
          <w:sz w:val="24"/>
          <w:szCs w:val="24"/>
        </w:rPr>
        <w:t>Zulema Martínez Sánchez</w:t>
      </w:r>
    </w:p>
    <w:p w:rsidR="00CF155D" w:rsidRPr="005239A8" w:rsidRDefault="00CF155D" w:rsidP="00CF155D">
      <w:pPr>
        <w:spacing w:line="240" w:lineRule="auto"/>
        <w:jc w:val="center"/>
        <w:rPr>
          <w:rFonts w:ascii="Palatino Linotype" w:hAnsi="Palatino Linotype"/>
          <w:b/>
          <w:sz w:val="24"/>
          <w:szCs w:val="24"/>
        </w:rPr>
      </w:pPr>
      <w:r w:rsidRPr="005239A8">
        <w:rPr>
          <w:rFonts w:ascii="Palatino Linotype" w:hAnsi="Palatino Linotype"/>
          <w:b/>
          <w:sz w:val="24"/>
          <w:szCs w:val="24"/>
        </w:rPr>
        <w:t>Comisionada</w:t>
      </w:r>
      <w:r>
        <w:rPr>
          <w:rFonts w:ascii="Palatino Linotype" w:hAnsi="Palatino Linotype"/>
          <w:b/>
          <w:sz w:val="24"/>
          <w:szCs w:val="24"/>
        </w:rPr>
        <w:t xml:space="preserve"> Presidenta</w:t>
      </w:r>
    </w:p>
    <w:p w:rsidR="00CF155D" w:rsidRDefault="00CF155D" w:rsidP="00CF155D">
      <w:pPr>
        <w:spacing w:after="0" w:line="360" w:lineRule="auto"/>
        <w:jc w:val="both"/>
        <w:rPr>
          <w:rFonts w:ascii="Palatino Linotype" w:hAnsi="Palatino Linotype"/>
          <w:sz w:val="24"/>
          <w:szCs w:val="24"/>
        </w:rPr>
      </w:pPr>
    </w:p>
    <w:p w:rsidR="00CF155D" w:rsidRDefault="00CF155D" w:rsidP="00CF155D">
      <w:pPr>
        <w:spacing w:after="0" w:line="360" w:lineRule="auto"/>
        <w:jc w:val="both"/>
        <w:rPr>
          <w:rFonts w:ascii="Palatino Linotype" w:hAnsi="Palatino Linotype"/>
          <w:sz w:val="24"/>
          <w:szCs w:val="24"/>
        </w:rPr>
      </w:pPr>
    </w:p>
    <w:p w:rsidR="001F4ECA" w:rsidRPr="009122C0" w:rsidRDefault="00CF155D" w:rsidP="00CF155D">
      <w:pPr>
        <w:spacing w:after="0" w:line="276" w:lineRule="auto"/>
        <w:contextualSpacing/>
        <w:jc w:val="both"/>
        <w:rPr>
          <w:rFonts w:ascii="Palatino Linotype" w:hAnsi="Palatino Linotype"/>
          <w:sz w:val="16"/>
          <w:szCs w:val="16"/>
        </w:rPr>
      </w:pPr>
      <w:r w:rsidRPr="005239A8">
        <w:rPr>
          <w:rFonts w:ascii="Palatino Linotype" w:hAnsi="Palatino Linotype"/>
          <w:sz w:val="24"/>
          <w:szCs w:val="24"/>
        </w:rPr>
        <w:t>OSAM/</w:t>
      </w:r>
      <w:r>
        <w:rPr>
          <w:rFonts w:ascii="Palatino Linotype" w:hAnsi="Palatino Linotype"/>
          <w:sz w:val="24"/>
          <w:szCs w:val="24"/>
        </w:rPr>
        <w:t>aemp</w:t>
      </w:r>
    </w:p>
    <w:sectPr w:rsidR="001F4ECA" w:rsidRPr="009122C0"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4C" w:rsidRDefault="00C6444C" w:rsidP="00AC0505">
      <w:pPr>
        <w:spacing w:after="0" w:line="240" w:lineRule="auto"/>
      </w:pPr>
      <w:r>
        <w:separator/>
      </w:r>
    </w:p>
  </w:endnote>
  <w:endnote w:type="continuationSeparator" w:id="0">
    <w:p w:rsidR="00C6444C" w:rsidRDefault="00C6444C"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9E590C">
      <w:rPr>
        <w:rFonts w:ascii="Palatino Linotype" w:hAnsi="Palatino Linotype" w:cs="Arial"/>
        <w:b/>
        <w:bCs/>
        <w:noProof/>
        <w:sz w:val="22"/>
        <w:szCs w:val="22"/>
      </w:rPr>
      <w:t>1</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9E590C">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p>
  <w:p w:rsidR="00D758BE" w:rsidRDefault="009E590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4C" w:rsidRDefault="00C6444C" w:rsidP="00AC0505">
      <w:pPr>
        <w:spacing w:after="0" w:line="240" w:lineRule="auto"/>
      </w:pPr>
      <w:r>
        <w:separator/>
      </w:r>
    </w:p>
  </w:footnote>
  <w:footnote w:type="continuationSeparator" w:id="0">
    <w:p w:rsidR="00C6444C" w:rsidRDefault="00C6444C"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9E590C" w:rsidP="007263BB">
    <w:pPr>
      <w:pStyle w:val="Encabezado"/>
      <w:jc w:val="right"/>
      <w:rPr>
        <w:rFonts w:ascii="Arial" w:hAnsi="Arial" w:cs="Arial"/>
        <w:sz w:val="20"/>
        <w:szCs w:val="20"/>
      </w:rPr>
    </w:pPr>
    <w:sdt>
      <w:sdtPr>
        <w:rPr>
          <w:rFonts w:ascii="Arial" w:hAnsi="Arial" w:cs="Arial"/>
          <w:sz w:val="20"/>
          <w:szCs w:val="20"/>
        </w:rPr>
        <w:id w:val="548338062"/>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21" name="Imagen 2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9E590C" w:rsidP="007263BB">
    <w:pPr>
      <w:pStyle w:val="Encabezado"/>
      <w:jc w:val="right"/>
      <w:rPr>
        <w:rFonts w:ascii="Arial" w:hAnsi="Arial" w:cs="Arial"/>
        <w:sz w:val="20"/>
        <w:szCs w:val="20"/>
      </w:rPr>
    </w:pPr>
  </w:p>
  <w:p w:rsidR="00D758BE" w:rsidRDefault="009E590C"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VOTO PARTICULAR </w:t>
    </w:r>
  </w:p>
  <w:p w:rsidR="00CF155D"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RECURSO DE REVISIÓN</w:t>
    </w:r>
    <w:r w:rsidR="00CF155D">
      <w:rPr>
        <w:rFonts w:ascii="Palatino Linotype" w:hAnsi="Palatino Linotype" w:cs="Arial"/>
        <w:b/>
        <w:sz w:val="19"/>
        <w:szCs w:val="19"/>
      </w:rPr>
      <w:t>:</w:t>
    </w:r>
  </w:p>
  <w:p w:rsidR="00EE5FB0" w:rsidRPr="009122C0" w:rsidRDefault="00826A20" w:rsidP="00EE5FB0">
    <w:pPr>
      <w:pStyle w:val="Encabezado"/>
      <w:jc w:val="right"/>
      <w:rPr>
        <w:rFonts w:ascii="Palatino Linotype" w:hAnsi="Palatino Linotype" w:cs="Arial"/>
        <w:b/>
        <w:sz w:val="19"/>
        <w:szCs w:val="19"/>
      </w:rPr>
    </w:pPr>
    <w:r w:rsidRPr="00826A20">
      <w:rPr>
        <w:rFonts w:ascii="Palatino Linotype" w:hAnsi="Palatino Linotype" w:cs="Arial"/>
        <w:b/>
        <w:sz w:val="19"/>
        <w:szCs w:val="19"/>
      </w:rPr>
      <w:t>0</w:t>
    </w:r>
    <w:r w:rsidR="00CF155D">
      <w:rPr>
        <w:rFonts w:ascii="Palatino Linotype" w:hAnsi="Palatino Linotype" w:cs="Arial"/>
        <w:b/>
        <w:sz w:val="19"/>
        <w:szCs w:val="19"/>
      </w:rPr>
      <w:t>3548</w:t>
    </w:r>
    <w:r w:rsidRPr="00826A20">
      <w:rPr>
        <w:rFonts w:ascii="Palatino Linotype" w:hAnsi="Palatino Linotype" w:cs="Arial"/>
        <w:b/>
        <w:sz w:val="19"/>
        <w:szCs w:val="19"/>
      </w:rPr>
      <w:t>/INFOEM/IP/RR/2018</w:t>
    </w:r>
  </w:p>
  <w:p w:rsidR="00D758BE" w:rsidRPr="009122C0" w:rsidRDefault="009E590C" w:rsidP="007263BB">
    <w:pPr>
      <w:pStyle w:val="Encabezado"/>
      <w:jc w:val="right"/>
      <w:rPr>
        <w:rFonts w:ascii="Palatino Linotype" w:hAnsi="Palatino Linotype" w:cs="Arial"/>
        <w:sz w:val="19"/>
        <w:szCs w:val="19"/>
      </w:rPr>
    </w:pPr>
  </w:p>
  <w:p w:rsidR="00233AB2" w:rsidRDefault="009E590C"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00D52"/>
    <w:rsid w:val="00052AAA"/>
    <w:rsid w:val="0005568D"/>
    <w:rsid w:val="0005701A"/>
    <w:rsid w:val="000602C7"/>
    <w:rsid w:val="0009400C"/>
    <w:rsid w:val="000B5C5E"/>
    <w:rsid w:val="000E5A91"/>
    <w:rsid w:val="00130FB1"/>
    <w:rsid w:val="001941BE"/>
    <w:rsid w:val="001C51EC"/>
    <w:rsid w:val="001F4ECA"/>
    <w:rsid w:val="0021650F"/>
    <w:rsid w:val="0024254B"/>
    <w:rsid w:val="00243405"/>
    <w:rsid w:val="002562E3"/>
    <w:rsid w:val="00273061"/>
    <w:rsid w:val="00282A28"/>
    <w:rsid w:val="00296CD8"/>
    <w:rsid w:val="002A5ADD"/>
    <w:rsid w:val="003031E7"/>
    <w:rsid w:val="003B4510"/>
    <w:rsid w:val="003F0F22"/>
    <w:rsid w:val="004C4149"/>
    <w:rsid w:val="004D3A60"/>
    <w:rsid w:val="004F2F4E"/>
    <w:rsid w:val="00506CDE"/>
    <w:rsid w:val="00631D0F"/>
    <w:rsid w:val="006F4B8F"/>
    <w:rsid w:val="00786579"/>
    <w:rsid w:val="007E78A5"/>
    <w:rsid w:val="008054BE"/>
    <w:rsid w:val="00826A20"/>
    <w:rsid w:val="009122C0"/>
    <w:rsid w:val="00934A4B"/>
    <w:rsid w:val="0099562E"/>
    <w:rsid w:val="009B1273"/>
    <w:rsid w:val="009E590C"/>
    <w:rsid w:val="00A12E71"/>
    <w:rsid w:val="00A20062"/>
    <w:rsid w:val="00A209B1"/>
    <w:rsid w:val="00AA7C8B"/>
    <w:rsid w:val="00AC0505"/>
    <w:rsid w:val="00B217CB"/>
    <w:rsid w:val="00B524AA"/>
    <w:rsid w:val="00B85385"/>
    <w:rsid w:val="00C00A80"/>
    <w:rsid w:val="00C6444C"/>
    <w:rsid w:val="00C84A89"/>
    <w:rsid w:val="00CE0D8A"/>
    <w:rsid w:val="00CF155D"/>
    <w:rsid w:val="00E06C9B"/>
    <w:rsid w:val="00E3725C"/>
    <w:rsid w:val="00E92880"/>
    <w:rsid w:val="00F70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5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table" w:styleId="Tablaconcuadrcula">
    <w:name w:val="Table Grid"/>
    <w:basedOn w:val="Tablanormal"/>
    <w:uiPriority w:val="39"/>
    <w:rsid w:val="006F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F4ECA"/>
    <w:pPr>
      <w:spacing w:after="0" w:line="240" w:lineRule="auto"/>
    </w:pPr>
    <w:rPr>
      <w:sz w:val="20"/>
      <w:szCs w:val="20"/>
    </w:rPr>
  </w:style>
  <w:style w:type="character" w:customStyle="1" w:styleId="TextonotapieCar">
    <w:name w:val="Texto nota pie Car"/>
    <w:basedOn w:val="Fuentedeprrafopredeter"/>
    <w:link w:val="Textonotapie"/>
    <w:uiPriority w:val="99"/>
    <w:rsid w:val="001F4ECA"/>
    <w:rPr>
      <w:sz w:val="20"/>
      <w:szCs w:val="20"/>
    </w:rPr>
  </w:style>
  <w:style w:type="character" w:styleId="Refdenotaalpie">
    <w:name w:val="footnote reference"/>
    <w:basedOn w:val="Fuentedeprrafopredeter"/>
    <w:unhideWhenUsed/>
    <w:rsid w:val="001F4ECA"/>
    <w:rPr>
      <w:vertAlign w:val="superscript"/>
    </w:rPr>
  </w:style>
  <w:style w:type="character" w:styleId="Hipervnculo">
    <w:name w:val="Hyperlink"/>
    <w:basedOn w:val="Fuentedeprrafopredeter"/>
    <w:uiPriority w:val="99"/>
    <w:unhideWhenUsed/>
    <w:rsid w:val="001F4ECA"/>
    <w:rPr>
      <w:color w:val="0563C1" w:themeColor="hyperlink"/>
      <w:u w:val="single"/>
    </w:rPr>
  </w:style>
  <w:style w:type="paragraph" w:styleId="Sinespaciado">
    <w:name w:val="No Spacing"/>
    <w:uiPriority w:val="1"/>
    <w:qFormat/>
    <w:rsid w:val="001F4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6970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2018-10-01T22:46:00Z</cp:lastPrinted>
  <dcterms:created xsi:type="dcterms:W3CDTF">2019-01-25T19:12:00Z</dcterms:created>
  <dcterms:modified xsi:type="dcterms:W3CDTF">2019-01-25T19:12:00Z</dcterms:modified>
</cp:coreProperties>
</file>